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小标宋" w:hAnsi="方正小标宋_GBK" w:eastAsia="小标宋" w:cs="方正小标宋_GBK"/>
          <w:color w:val="000000"/>
          <w:sz w:val="44"/>
          <w:szCs w:val="44"/>
        </w:rPr>
      </w:pPr>
      <w:r>
        <w:rPr>
          <w:rFonts w:hint="eastAsia" w:ascii="小标宋" w:hAnsi="方正小标宋_GBK" w:eastAsia="小标宋" w:cs="方正小标宋_GBK"/>
          <w:color w:val="000000"/>
          <w:sz w:val="44"/>
          <w:szCs w:val="44"/>
        </w:rPr>
        <w:t>2020年度中国科技期刊卓越行动计划</w:t>
      </w:r>
      <w:r>
        <w:rPr>
          <w:rFonts w:hint="eastAsia" w:ascii="小标宋" w:hAnsi="方正小标宋_GBK" w:eastAsia="小标宋" w:cs="方正小标宋_GBK"/>
          <w:color w:val="000000"/>
          <w:sz w:val="44"/>
          <w:szCs w:val="44"/>
        </w:rPr>
        <w:br w:type="textWrapping"/>
      </w:r>
      <w:r>
        <w:rPr>
          <w:rFonts w:hint="eastAsia" w:ascii="小标宋" w:hAnsi="方正小标宋_GBK" w:eastAsia="小标宋" w:cs="方正小标宋_GBK"/>
          <w:color w:val="000000"/>
          <w:sz w:val="44"/>
          <w:szCs w:val="44"/>
        </w:rPr>
        <w:t>高起点新刊入选项目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869"/>
        <w:gridCol w:w="3300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拟使用中文刊名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主要主办单位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4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中国机械工程学报：增材制造前沿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中国机械工程学会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新能源与智能载运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北京理工大学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空天：科学与技术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北京理工大学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光电科学（英文）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中国科学院光电技术研究所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数学与统计通讯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中国科学技术大学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深地科学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中国矿业大学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空气动力学进展（英文）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中国空气动力学会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e科学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南开大学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能源材料前沿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北京理工大学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材料研究述评（英文）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上海科技大学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国家科学进展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中国科技出版传媒股份有限公司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信息材料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电子科技大学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芯片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上海交通大学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CAAI人工智能汇刊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中国人工智能学会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智能建造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同济大学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生物安全和生物安保杂志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中国科技出版传媒股份有限公司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生态过程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中国科学院沈阳应用生态研究所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废弃物处置与可持续能源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浙江大学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植物表型组学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南京农业大学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草地，饲草和生态</w:t>
            </w:r>
          </w:p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系统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中国草学会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新兴污染物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中国科技出版传媒股份有限公司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生物炭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沈阳农业大学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辽宁省教育厅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传染病建模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中国科技出版传媒股份有限公司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中华医学杂志英文版呼吸与危重症医学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重症医学（英文）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放射医学与防护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中华医学会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感染医学（英文）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清华大学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健康数据科学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北京大学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国家医学评论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北京大学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等线" w:eastAsia="仿宋_GB2312" w:cs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腔镜、内镜与机器人外科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浙江大学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</w:rPr>
            </w:pPr>
            <w:r>
              <w:rPr>
                <w:rFonts w:hint="eastAsia" w:ascii="仿宋_GB2312" w:hAnsi="等线" w:eastAsia="仿宋_GB2312" w:cs="宋体"/>
                <w:color w:val="000000"/>
              </w:rPr>
              <w:t>教育部</w:t>
            </w:r>
          </w:p>
        </w:tc>
      </w:tr>
    </w:tbl>
    <w:p>
      <w:pPr>
        <w:widowControl w:val="0"/>
        <w:overflowPunct/>
        <w:autoSpaceDE/>
        <w:autoSpaceDN/>
        <w:adjustRightInd/>
        <w:spacing w:line="560" w:lineRule="exact"/>
        <w:textAlignment w:val="auto"/>
        <w:rPr>
          <w:rFonts w:eastAsia="仿宋_GB2312"/>
          <w:sz w:val="32"/>
          <w:szCs w:val="32"/>
        </w:rPr>
      </w:pPr>
    </w:p>
    <w:p/>
    <w:p>
      <w:pPr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3</w:t>
    </w:r>
    <w:r>
      <w:rPr>
        <w:szCs w:val="28"/>
      </w:rPr>
      <w:fldChar w:fldCharType="end"/>
    </w:r>
    <w:r>
      <w:rPr>
        <w:rStyle w:val="5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B261CB"/>
    <w:multiLevelType w:val="singleLevel"/>
    <w:tmpl w:val="BCB261C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16CB5"/>
    <w:rsid w:val="127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2020-07-24T11:05:00Z</dcterms:created>
  <dc:creator>wyt</dc:creator>
  <cp:lastModifiedBy>wyt</cp:lastModifiedBy>
  <dcterms:modified xsi:type="dcterms:W3CDTF">2020-07-24T11:05:43Z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