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A2" w:rsidRPr="00644AA2" w:rsidRDefault="00644AA2" w:rsidP="00644AA2">
      <w:pPr>
        <w:rPr>
          <w:rFonts w:hint="eastAsia"/>
          <w:b/>
          <w:sz w:val="30"/>
          <w:szCs w:val="30"/>
        </w:rPr>
      </w:pPr>
      <w:r w:rsidRPr="00644AA2"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：</w:t>
      </w:r>
    </w:p>
    <w:p w:rsidR="00644AA2" w:rsidRPr="00B14955" w:rsidRDefault="00644AA2" w:rsidP="00644AA2">
      <w:pPr>
        <w:rPr>
          <w:rFonts w:hint="eastAsia"/>
          <w:b/>
        </w:rPr>
      </w:pPr>
      <w:r w:rsidRPr="00B14955">
        <w:rPr>
          <w:rFonts w:hint="eastAsia"/>
          <w:b/>
        </w:rPr>
        <w:t>一、</w:t>
      </w:r>
      <w:r w:rsidRPr="00B14955">
        <w:rPr>
          <w:rFonts w:hint="eastAsia"/>
          <w:b/>
        </w:rPr>
        <w:t xml:space="preserve"> </w:t>
      </w:r>
      <w:r w:rsidRPr="00B14955">
        <w:rPr>
          <w:rFonts w:hint="eastAsia"/>
          <w:b/>
        </w:rPr>
        <w:t>重点课题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中国司法改革的价值目标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民法典编纂中的宪法问题研究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行政程序与责任机制研究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我国刑法立法方法研究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资产金融市场发展与担保法体系重构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跨行政区划法院、检察院组织体系与管辖制度研究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众筹实践</w:t>
      </w:r>
      <w:proofErr w:type="gramEnd"/>
      <w:r>
        <w:rPr>
          <w:rFonts w:hint="eastAsia"/>
        </w:rPr>
        <w:t>与证券法变革研究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“一带一路”沿线国涉外民商事争议解决制度研究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湿地保护管理制度建设研究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明清官员议</w:t>
      </w:r>
      <w:proofErr w:type="gramStart"/>
      <w:r>
        <w:rPr>
          <w:rFonts w:hint="eastAsia"/>
        </w:rPr>
        <w:t>罪制度</w:t>
      </w:r>
      <w:proofErr w:type="gramEnd"/>
      <w:r>
        <w:rPr>
          <w:rFonts w:hint="eastAsia"/>
        </w:rPr>
        <w:t>研究</w:t>
      </w:r>
    </w:p>
    <w:p w:rsidR="00644AA2" w:rsidRDefault="00644AA2" w:rsidP="00644AA2"/>
    <w:p w:rsidR="00644AA2" w:rsidRPr="00B14955" w:rsidRDefault="00644AA2" w:rsidP="00644AA2">
      <w:pPr>
        <w:rPr>
          <w:rFonts w:hint="eastAsia"/>
          <w:b/>
        </w:rPr>
      </w:pPr>
      <w:r w:rsidRPr="00B14955">
        <w:rPr>
          <w:rFonts w:hint="eastAsia"/>
          <w:b/>
        </w:rPr>
        <w:t>一、</w:t>
      </w:r>
      <w:r w:rsidRPr="00B14955">
        <w:rPr>
          <w:rFonts w:hint="eastAsia"/>
          <w:b/>
        </w:rPr>
        <w:t xml:space="preserve"> </w:t>
      </w:r>
      <w:r w:rsidRPr="00B14955">
        <w:rPr>
          <w:rFonts w:hint="eastAsia"/>
          <w:b/>
        </w:rPr>
        <w:t>一般课题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法治文化建设研究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基层社会治理法治化研究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人权司法保障问题研究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法官员额制改革相关问题研究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认知风格对法官决策差异形成的影响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新生权利的理论与实践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近代中国行政审判制度的创建与变迁研究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国外移民法比较研究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健全宪法解释工作程序相关问题研究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lastRenderedPageBreak/>
        <w:t>20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平等的受教育权的法治保障研究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宪法规制下的警察权研究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法治政府建设衡量标准研究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行政执法体制改革研究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行政过程中的法定程序与正当程序研究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参与型行政背景下行政争议的多元解决机制研究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行政诉讼中诉的利益与公益诉讼制度研究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行政诉讼法修改后实施效果研究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律师法修改相关问题研究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法律援助立法研究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犯罪竞</w:t>
      </w:r>
      <w:proofErr w:type="gramStart"/>
      <w:r>
        <w:rPr>
          <w:rFonts w:hint="eastAsia"/>
        </w:rPr>
        <w:t>合有关</w:t>
      </w:r>
      <w:proofErr w:type="gramEnd"/>
      <w:r>
        <w:rPr>
          <w:rFonts w:hint="eastAsia"/>
        </w:rPr>
        <w:t>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正当防卫司法认定偏差研究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恐怖主义犯罪的刑法规制及其司法适用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终身监禁与执行研究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反校园欺凌立法研究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新型金融犯罪及其刑法规制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贪污贿赂定罪量刑新问题研究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司法鉴定立法研究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认罪认罚从宽制度的程序与实体设计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中国特色的辩诉协商制度研究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非羁押强制措施适用难题破解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再审制度与审级制度的衔接研究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lastRenderedPageBreak/>
        <w:t>42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涉案财物管理和处置规范研究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性侵案件</w:t>
      </w:r>
      <w:proofErr w:type="gramEnd"/>
      <w:r>
        <w:rPr>
          <w:rFonts w:hint="eastAsia"/>
        </w:rPr>
        <w:t>未成年人司法保护研究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共享经济的法律调整研究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我国</w:t>
      </w:r>
      <w:proofErr w:type="gramStart"/>
      <w:r>
        <w:rPr>
          <w:rFonts w:hint="eastAsia"/>
        </w:rPr>
        <w:t>不动产役权制度</w:t>
      </w:r>
      <w:proofErr w:type="gramEnd"/>
      <w:r>
        <w:rPr>
          <w:rFonts w:hint="eastAsia"/>
        </w:rPr>
        <w:t>构建研究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“三权分置”背景下农地权利体系构建研究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理性人标准在我国知识产权法中的规范性适用研究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老龄监护措施替代机制研究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企业市场退出的法律形式和机制研究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商事信用制度构建与完善研究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反不正当竞争法与侵权法的衔接研究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竞争法中滥用相对优势地位研究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劳动合同法实施中的法律应用对策研究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城镇化进程中农村出嫁</w:t>
      </w:r>
      <w:proofErr w:type="gramStart"/>
      <w:r>
        <w:rPr>
          <w:rFonts w:hint="eastAsia"/>
        </w:rPr>
        <w:t>女土地</w:t>
      </w:r>
      <w:proofErr w:type="gramEnd"/>
      <w:r>
        <w:rPr>
          <w:rFonts w:hint="eastAsia"/>
        </w:rPr>
        <w:t>权益法治保障研究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国际私法与中国海外权益保护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中国推进“一带一路”建设的国际法律构建问题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>、</w:t>
      </w:r>
      <w:r>
        <w:rPr>
          <w:rFonts w:hint="eastAsia"/>
        </w:rPr>
        <w:t xml:space="preserve"> ISDS</w:t>
      </w:r>
      <w:r>
        <w:rPr>
          <w:rFonts w:hint="eastAsia"/>
        </w:rPr>
        <w:t>机制的发展趋势与中国研究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法律服务与“一带一路”建设研究</w:t>
      </w:r>
    </w:p>
    <w:p w:rsidR="00644AA2" w:rsidRDefault="00644AA2" w:rsidP="00644AA2"/>
    <w:p w:rsidR="00644AA2" w:rsidRDefault="00644AA2" w:rsidP="00644AA2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排污许可制度研究</w:t>
      </w:r>
    </w:p>
    <w:p w:rsidR="00644AA2" w:rsidRDefault="00644AA2" w:rsidP="00644AA2"/>
    <w:p w:rsidR="00C04CB4" w:rsidRPr="00644AA2" w:rsidRDefault="00644AA2" w:rsidP="00644AA2"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环境资源税法律制度研究</w:t>
      </w:r>
    </w:p>
    <w:sectPr w:rsidR="00C04CB4" w:rsidRPr="00644AA2" w:rsidSect="00C0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AA2"/>
    <w:rsid w:val="00644AA2"/>
    <w:rsid w:val="00B14955"/>
    <w:rsid w:val="00C0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高莉</dc:creator>
  <cp:lastModifiedBy>高莉</cp:lastModifiedBy>
  <cp:revision>2</cp:revision>
  <dcterms:created xsi:type="dcterms:W3CDTF">2016-06-03T08:12:00Z</dcterms:created>
  <dcterms:modified xsi:type="dcterms:W3CDTF">2016-06-03T08:14:00Z</dcterms:modified>
</cp:coreProperties>
</file>